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2600"/>
      </w:pPr>
      <w:r>
        <w:rPr>
          <w:rFonts w:ascii="Georgia" w:cs="Georgia" w:eastAsia="Georgia" w:hAnsi="Georgia"/>
          <w:b/>
          <w:bCs/>
          <w:color w:val="16202B"/>
          <w:sz w:val="52"/>
          <w:szCs w:val="52"/>
        </w:rPr>
        <w:t xml:space="preserve">Co wysłać, żeby dostać dobrą wycenę</w:t>
      </w:r>
    </w:p>
    <w:p>
      <w:pPr>
        <w:pBdr>
          <w:top w:val="single" w:color="E3DFD7" w:sz="6" w:space="10"/>
        </w:pBdr>
        <w:spacing w:after="0" w:before="260"/>
      </w:pPr>
      <w:r>
        <w:rPr>
          <w:rFonts w:ascii="Segoe UI" w:cs="Segoe UI" w:eastAsia="Segoe UI" w:hAnsi="Segoe UI"/>
          <w:color w:val="4A5763"/>
          <w:sz w:val="24"/>
          <w:szCs w:val="24"/>
        </w:rPr>
        <w:t xml:space="preserve">Lista tego, co przygotować do wyceny analizy statystycznej, z trzema wypełnionymi przykładami i listą rzeczy, których nie wysyłać.</w:t>
      </w:r>
    </w:p>
    <w:p>
      <w:pPr>
        <w:spacing w:before="520"/>
      </w:pPr>
      <w:r>
        <w:rPr>
          <w:rFonts w:ascii="Georgia" w:cs="Georgia" w:eastAsia="Georgia" w:hAnsi="Georgia"/>
          <w:b/>
          <w:bCs/>
          <w:color w:val="0F6E68"/>
          <w:sz w:val="24"/>
          <w:szCs w:val="24"/>
        </w:rPr>
        <w:t xml:space="preserve">Alfastats</w:t>
      </w:r>
    </w:p>
    <w:p>
      <w:r>
        <w:br w:type="page"/>
      </w:r>
    </w:p>
    <w:p>
      <w:pPr>
        <w:spacing w:after="200"/>
      </w:pPr>
      <w:r>
        <w:rPr>
          <w:rFonts w:ascii="Georgia" w:cs="Georgia" w:eastAsia="Georgia" w:hAnsi="Georgia"/>
          <w:b/>
          <w:bCs/>
          <w:color w:val="16202B"/>
          <w:sz w:val="40"/>
          <w:szCs w:val="40"/>
        </w:rPr>
        <w:t xml:space="preserve">Co wysłać, żeby dostać dobrą wycenę</w:t>
      </w:r>
    </w:p>
    <w:p>
      <w:pPr>
        <w:spacing w:after="160" w:line="300"/>
      </w:pPr>
      <w:r>
        <w:rPr>
          <w:rFonts w:ascii="Segoe UI" w:cs="Segoe UI" w:eastAsia="Segoe UI" w:hAnsi="Segoe UI"/>
          <w:color w:val="16202B"/>
          <w:sz w:val="22"/>
          <w:szCs w:val="22"/>
        </w:rPr>
        <w:t xml:space="preserve">Wycena analizy dzieli się u nas na dwa kroki i to zmienia odpowiedź na pytanie „co przygotować". Do pierwszego kroku nie potrzebujesz niczego poza kilkoma zdaniami. Do drugiego, w którym podajemy jedną kwotę zamiast przedziału, potrzebujemy danych.</w:t>
      </w:r>
    </w:p>
    <w:p>
      <w:pPr>
        <w:spacing w:after="160" w:line="300"/>
      </w:pPr>
      <w:r>
        <w:rPr>
          <w:rFonts w:ascii="Segoe UI" w:cs="Segoe UI" w:eastAsia="Segoe UI" w:hAnsi="Segoe UI"/>
          <w:color w:val="16202B"/>
          <w:sz w:val="22"/>
          <w:szCs w:val="22"/>
        </w:rPr>
        <w:t xml:space="preserve">Ta strona mówi, co dokładnie przygotować do drugiego kroku, i pokazuje trzy wypełnione przykłady. Jest też wersja do pobrania, jeśli wolisz mieć ją obok siebie przy zbieraniu plików.</w:t>
      </w:r>
    </w:p>
    <w:p>
      <w:pPr>
        <w:pBdr>
          <w:bottom w:val="single" w:color="E3DFD7" w:sz="6" w:space="6"/>
        </w:pBdr>
        <w:spacing w:after="180" w:before="420"/>
      </w:pPr>
      <w:r>
        <w:rPr>
          <w:rFonts w:ascii="Georgia" w:cs="Georgia" w:eastAsia="Georgia" w:hAnsi="Georgia"/>
          <w:b/>
          <w:bCs/>
          <w:color w:val="16202B"/>
          <w:sz w:val="30"/>
          <w:szCs w:val="30"/>
        </w:rPr>
        <w:t xml:space="preserve">Krok pierwszy: pięć pól, żadnych plików</w:t>
      </w:r>
    </w:p>
    <w:p>
      <w:pPr>
        <w:spacing w:after="160" w:line="300"/>
      </w:pPr>
      <w:r>
        <w:rPr>
          <w:rFonts w:ascii="Segoe UI" w:cs="Segoe UI" w:eastAsia="Segoe UI" w:hAnsi="Segoe UI"/>
          <w:color w:val="16202B"/>
          <w:sz w:val="22"/>
          <w:szCs w:val="22"/>
        </w:rPr>
        <w:t xml:space="preserve">Imię, adres e-mail, rodzaj pracy, termin i jedno zdanie o tym, czego dotyczy badanie. To wszystko. W ciągu 24 godzin odpisujemy z przedziałem, w którym mieści się taki projekt, i z linkiem do drugiego kroku.</w:t>
      </w:r>
    </w:p>
    <w:p>
      <w:pPr>
        <w:spacing w:after="160" w:line="300"/>
      </w:pPr>
      <w:r>
        <w:rPr>
          <w:rFonts w:ascii="Segoe UI" w:cs="Segoe UI" w:eastAsia="Segoe UI" w:hAnsi="Segoe UI"/>
          <w:color w:val="16202B"/>
          <w:sz w:val="22"/>
          <w:szCs w:val="22"/>
        </w:rPr>
        <w:t xml:space="preserve">Nie czekaj z pierwszym zgłoszeniem, aż będziesz mieć komplet. Przedział cenowy dostaniesz i tak, a wiedza o tym, ile to mniej więcej kosztuje, bywa potrzebna wcześniej niż same dane.</w:t>
      </w:r>
    </w:p>
    <w:p>
      <w:pPr>
        <w:pBdr>
          <w:bottom w:val="single" w:color="E3DFD7" w:sz="6" w:space="6"/>
        </w:pBdr>
        <w:spacing w:after="180" w:before="420"/>
      </w:pPr>
      <w:r>
        <w:rPr>
          <w:rFonts w:ascii="Georgia" w:cs="Georgia" w:eastAsia="Georgia" w:hAnsi="Georgia"/>
          <w:b/>
          <w:bCs/>
          <w:color w:val="16202B"/>
          <w:sz w:val="30"/>
          <w:szCs w:val="30"/>
        </w:rPr>
        <w:t xml:space="preserve">Krok drugi: sześć rzeczy, które realnie zmieniają kwotę</w:t>
      </w:r>
    </w:p>
    <w:p>
      <w:pPr>
        <w:spacing w:after="120" w:before="280"/>
      </w:pPr>
      <w:r>
        <w:rPr>
          <w:rFonts w:ascii="Georgia" w:cs="Georgia" w:eastAsia="Georgia" w:hAnsi="Georgia"/>
          <w:b/>
          <w:bCs/>
          <w:color w:val="0F6E68"/>
          <w:sz w:val="24"/>
          <w:szCs w:val="24"/>
        </w:rPr>
        <w:t xml:space="preserve">1. Plik z danymi</w:t>
      </w:r>
    </w:p>
    <w:p>
      <w:pPr>
        <w:spacing w:after="160" w:line="300"/>
      </w:pPr>
      <w:r>
        <w:rPr>
          <w:rFonts w:ascii="Segoe UI" w:cs="Segoe UI" w:eastAsia="Segoe UI" w:hAnsi="Segoe UI"/>
          <w:color w:val="16202B"/>
          <w:sz w:val="22"/>
          <w:szCs w:val="22"/>
        </w:rPr>
        <w:t xml:space="preserve">W formacie sav (SPSS), xlsx, csv, omv (jamovi), jasp (JASP) albo r. Jeśli masz kilka wersji, dołącz oryginalny eksport z narzędzia, którym zbierano dane, oraz wersję przeliczoną, jeśli już coś liczysz. Dwa pliki mówią nam więcej niż jeden, bo widać, co zostało zmienione ręcznie.</w:t>
      </w:r>
    </w:p>
    <w:p>
      <w:pPr>
        <w:spacing w:after="160" w:line="300"/>
      </w:pPr>
      <w:r>
        <w:rPr>
          <w:rFonts w:ascii="Segoe UI" w:cs="Segoe UI" w:eastAsia="Segoe UI" w:hAnsi="Segoe UI"/>
          <w:color w:val="16202B"/>
          <w:sz w:val="22"/>
          <w:szCs w:val="22"/>
        </w:rPr>
        <w:t xml:space="preserve">Nie porządkuj arkusza przed wysłaniem. Uporządkowanie bazy jest częścią naszej pracy i wliczone w cenę. Przerobiony arkusz bywa trudniejszy do odtworzenia niż surowy eksport.</w:t>
      </w:r>
    </w:p>
    <w:p>
      <w:pPr>
        <w:spacing w:after="120" w:before="280"/>
      </w:pPr>
      <w:r>
        <w:rPr>
          <w:rFonts w:ascii="Georgia" w:cs="Georgia" w:eastAsia="Georgia" w:hAnsi="Georgia"/>
          <w:b/>
          <w:bCs/>
          <w:color w:val="0F6E68"/>
          <w:sz w:val="24"/>
          <w:szCs w:val="24"/>
        </w:rPr>
        <w:t xml:space="preserve">2. Treść hipotez, nie ich liczba</w:t>
      </w:r>
    </w:p>
    <w:p>
      <w:pPr>
        <w:spacing w:after="160" w:line="300"/>
      </w:pPr>
      <w:r>
        <w:rPr>
          <w:rFonts w:ascii="Segoe UI" w:cs="Segoe UI" w:eastAsia="Segoe UI" w:hAnsi="Segoe UI"/>
          <w:color w:val="16202B"/>
          <w:sz w:val="22"/>
          <w:szCs w:val="22"/>
        </w:rPr>
        <w:t xml:space="preserve">Wklej hipotezy albo pytania badawcze tak, jak stoją w pracy, choćby w wersji roboczej. Jeśli masz tylko cel badania, wklej cel.</w:t>
      </w:r>
    </w:p>
    <w:p>
      <w:pPr>
        <w:spacing w:after="160" w:line="300"/>
      </w:pPr>
      <w:r>
        <w:rPr>
          <w:rFonts w:ascii="Segoe UI" w:cs="Segoe UI" w:eastAsia="Segoe UI" w:hAnsi="Segoe UI"/>
          <w:color w:val="16202B"/>
          <w:sz w:val="22"/>
          <w:szCs w:val="22"/>
        </w:rPr>
        <w:t xml:space="preserve">To jest pole, które najbardziej zmienia wycenę, i jednocześnie najczęściej pomijane. Trzy hipotezy sprawdzane jednym testem to mniej pracy niż jedna, która wymaga modelu regresji z kilkoma predyktorami. Sama liczba tego nie pokazuje.</w:t>
      </w:r>
    </w:p>
    <w:p>
      <w:pPr>
        <w:spacing w:after="120" w:before="280"/>
      </w:pPr>
      <w:r>
        <w:rPr>
          <w:rFonts w:ascii="Georgia" w:cs="Georgia" w:eastAsia="Georgia" w:hAnsi="Georgia"/>
          <w:b/>
          <w:bCs/>
          <w:color w:val="0F6E68"/>
          <w:sz w:val="24"/>
          <w:szCs w:val="24"/>
        </w:rPr>
        <w:t xml:space="preserve">3. W jakim stanie są hipotezy</w:t>
      </w:r>
    </w:p>
    <w:p>
      <w:pPr>
        <w:spacing w:after="160" w:line="300"/>
      </w:pPr>
      <w:r>
        <w:rPr>
          <w:rFonts w:ascii="Segoe UI" w:cs="Segoe UI" w:eastAsia="Segoe UI" w:hAnsi="Segoe UI"/>
          <w:color w:val="16202B"/>
          <w:sz w:val="22"/>
          <w:szCs w:val="22"/>
        </w:rPr>
        <w:t xml:space="preserve">Gotowe i zatwierdzone przez promotora, robocze do poprawy, same pytania badawcze albo sam cel. To rozróżnienie decyduje o tym, czy analizujemy, czy najpierw pomagamy sformułować.</w:t>
      </w:r>
    </w:p>
    <w:p>
      <w:pPr>
        <w:spacing w:after="120" w:before="280"/>
      </w:pPr>
      <w:r>
        <w:rPr>
          <w:rFonts w:ascii="Georgia" w:cs="Georgia" w:eastAsia="Georgia" w:hAnsi="Georgia"/>
          <w:b/>
          <w:bCs/>
          <w:color w:val="0F6E68"/>
          <w:sz w:val="24"/>
          <w:szCs w:val="24"/>
        </w:rPr>
        <w:t xml:space="preserve">4. Język raportu</w:t>
      </w:r>
    </w:p>
    <w:p>
      <w:pPr>
        <w:spacing w:after="160" w:line="300"/>
      </w:pPr>
      <w:r>
        <w:rPr>
          <w:rFonts w:ascii="Segoe UI" w:cs="Segoe UI" w:eastAsia="Segoe UI" w:hAnsi="Segoe UI"/>
          <w:color w:val="16202B"/>
          <w:sz w:val="22"/>
          <w:szCs w:val="22"/>
        </w:rPr>
        <w:t xml:space="preserve">Polski, angielski albo inny. Raport po angielsku ma dopłatę, więc bez tej informacji kwota z wyceny mogłaby się później okazać niepełna, a tego chcemy uniknąć.</w:t>
      </w:r>
    </w:p>
    <w:p>
      <w:pPr>
        <w:spacing w:after="120" w:before="280"/>
      </w:pPr>
      <w:r>
        <w:rPr>
          <w:rFonts w:ascii="Georgia" w:cs="Georgia" w:eastAsia="Georgia" w:hAnsi="Georgia"/>
          <w:b/>
          <w:bCs/>
          <w:color w:val="0F6E68"/>
          <w:sz w:val="24"/>
          <w:szCs w:val="24"/>
        </w:rPr>
        <w:t xml:space="preserve">5. Czy te same osoby były badane więcej niż raz</w:t>
      </w:r>
    </w:p>
    <w:p>
      <w:pPr>
        <w:spacing w:after="160" w:line="300"/>
      </w:pPr>
      <w:r>
        <w:rPr>
          <w:rFonts w:ascii="Segoe UI" w:cs="Segoe UI" w:eastAsia="Segoe UI" w:hAnsi="Segoe UI"/>
          <w:color w:val="16202B"/>
          <w:sz w:val="22"/>
          <w:szCs w:val="22"/>
        </w:rPr>
        <w:t xml:space="preserve">Pomiar przed i po, kilka pomiarów, czy jeden. To decyduje o rodzinie testów i realnie różni czas pracy. „Nie wiem" też jest odpowiedzią, wtedy sprawdzamy to w bazie.</w:t>
      </w:r>
    </w:p>
    <w:p>
      <w:pPr>
        <w:spacing w:after="120" w:before="280"/>
      </w:pPr>
      <w:r>
        <w:rPr>
          <w:rFonts w:ascii="Georgia" w:cs="Georgia" w:eastAsia="Georgia" w:hAnsi="Georgia"/>
          <w:b/>
          <w:bCs/>
          <w:color w:val="0F6E68"/>
          <w:sz w:val="24"/>
          <w:szCs w:val="24"/>
        </w:rPr>
        <w:t xml:space="preserve">6. Czy w bazie są odpowiedzi opisowe</w:t>
      </w:r>
    </w:p>
    <w:p>
      <w:pPr>
        <w:spacing w:after="160" w:line="300"/>
      </w:pPr>
      <w:r>
        <w:rPr>
          <w:rFonts w:ascii="Segoe UI" w:cs="Segoe UI" w:eastAsia="Segoe UI" w:hAnsi="Segoe UI"/>
          <w:color w:val="16202B"/>
          <w:sz w:val="22"/>
          <w:szCs w:val="22"/>
        </w:rPr>
        <w:t xml:space="preserve">Pytania otwarte, w których badani wpisywali własnymi słowami. Odpowiedzi opisowe trzeba zakodować, zanim da się je policzyć, i jest to osobna praca przed analizą właściwą.</w:t>
      </w:r>
    </w:p>
    <w:p>
      <w:pPr>
        <w:pBdr>
          <w:bottom w:val="single" w:color="E3DFD7" w:sz="6" w:space="6"/>
        </w:pBdr>
        <w:spacing w:after="180" w:before="420"/>
      </w:pPr>
      <w:r>
        <w:rPr>
          <w:rFonts w:ascii="Georgia" w:cs="Georgia" w:eastAsia="Georgia" w:hAnsi="Georgia"/>
          <w:b/>
          <w:bCs/>
          <w:color w:val="16202B"/>
          <w:sz w:val="30"/>
          <w:szCs w:val="30"/>
        </w:rPr>
        <w:t xml:space="preserve">Cztery rzeczy, które przydadzą się, ale nie są konieczne</w:t>
      </w:r>
    </w:p>
    <w:p>
      <w:pPr>
        <w:pStyle w:val="ListParagraph"/>
        <w:numPr>
          <w:ilvl w:val="0"/>
          <w:numId w:val="2"/>
        </w:numPr>
        <w:spacing w:after="140" w:line="300"/>
      </w:pPr>
      <w:r>
        <w:rPr>
          <w:rFonts w:ascii="Segoe UI" w:cs="Segoe UI" w:eastAsia="Segoe UI" w:hAnsi="Segoe UI"/>
          <w:b/>
          <w:bCs/>
          <w:color w:val="16202B"/>
          <w:sz w:val="22"/>
          <w:szCs w:val="22"/>
        </w:rPr>
        <w:t xml:space="preserve">Klucze do kwestionariuszy</w:t>
      </w:r>
      <w:r>
        <w:rPr>
          <w:rFonts w:ascii="Segoe UI" w:cs="Segoe UI" w:eastAsia="Segoe UI" w:hAnsi="Segoe UI"/>
          <w:b w:val="false"/>
          <w:bCs w:val="false"/>
          <w:color w:val="16202B"/>
          <w:sz w:val="22"/>
          <w:szCs w:val="22"/>
        </w:rPr>
        <w:t xml:space="preserve"> albo instrukcja liczenia wyników. Jeśli używasz gotowego narzędzia, wystarczy jego pełna nazwa, resztę znajdziemy. Bez klucza szukanie zajmuje czas, a czas wchodzi w cenę.</w:t>
      </w:r>
    </w:p>
    <w:p>
      <w:pPr>
        <w:pStyle w:val="ListParagraph"/>
        <w:numPr>
          <w:ilvl w:val="0"/>
          <w:numId w:val="2"/>
        </w:numPr>
        <w:spacing w:after="140" w:line="300"/>
      </w:pPr>
      <w:r>
        <w:rPr>
          <w:rFonts w:ascii="Segoe UI" w:cs="Segoe UI" w:eastAsia="Segoe UI" w:hAnsi="Segoe UI"/>
          <w:b/>
          <w:bCs/>
          <w:color w:val="16202B"/>
          <w:sz w:val="22"/>
          <w:szCs w:val="22"/>
        </w:rPr>
        <w:t xml:space="preserve">Fragment rozdziału metodologicznego</w:t>
      </w:r>
      <w:r>
        <w:rPr>
          <w:rFonts w:ascii="Segoe UI" w:cs="Segoe UI" w:eastAsia="Segoe UI" w:hAnsi="Segoe UI"/>
          <w:b w:val="false"/>
          <w:bCs w:val="false"/>
          <w:color w:val="16202B"/>
          <w:sz w:val="22"/>
          <w:szCs w:val="22"/>
        </w:rPr>
        <w:t xml:space="preserve">, jeśli już go masz napisanego. Nie pisz go na potrzeby wyceny.</w:t>
      </w:r>
    </w:p>
    <w:p>
      <w:pPr>
        <w:pStyle w:val="ListParagraph"/>
        <w:numPr>
          <w:ilvl w:val="0"/>
          <w:numId w:val="2"/>
        </w:numPr>
        <w:spacing w:after="140" w:line="300"/>
      </w:pPr>
      <w:r>
        <w:rPr>
          <w:rFonts w:ascii="Segoe UI" w:cs="Segoe UI" w:eastAsia="Segoe UI" w:hAnsi="Segoe UI"/>
          <w:b/>
          <w:bCs/>
          <w:color w:val="16202B"/>
          <w:sz w:val="22"/>
          <w:szCs w:val="22"/>
        </w:rPr>
        <w:t xml:space="preserve">Wymagania uczelni albo czasopisma</w:t>
      </w:r>
      <w:r>
        <w:rPr>
          <w:rFonts w:ascii="Segoe UI" w:cs="Segoe UI" w:eastAsia="Segoe UI" w:hAnsi="Segoe UI"/>
          <w:b w:val="false"/>
          <w:bCs w:val="false"/>
          <w:color w:val="16202B"/>
          <w:sz w:val="22"/>
          <w:szCs w:val="22"/>
        </w:rPr>
        <w:t xml:space="preserve">, jeśli odbiegają od standardu APA 7. Domyślnie stosujemy APA 7 i piszemy o tym w wycenie.</w:t>
      </w:r>
    </w:p>
    <w:p>
      <w:pPr>
        <w:pStyle w:val="ListParagraph"/>
        <w:numPr>
          <w:ilvl w:val="0"/>
          <w:numId w:val="2"/>
        </w:numPr>
        <w:spacing w:after="140" w:line="300"/>
      </w:pPr>
      <w:r>
        <w:rPr>
          <w:rFonts w:ascii="Segoe UI" w:cs="Segoe UI" w:eastAsia="Segoe UI" w:hAnsi="Segoe UI"/>
          <w:b/>
          <w:bCs/>
          <w:color w:val="16202B"/>
          <w:sz w:val="22"/>
          <w:szCs w:val="22"/>
        </w:rPr>
        <w:t xml:space="preserve">Wymagany program</w:t>
      </w:r>
      <w:r>
        <w:rPr>
          <w:rFonts w:ascii="Segoe UI" w:cs="Segoe UI" w:eastAsia="Segoe UI" w:hAnsi="Segoe UI"/>
          <w:b w:val="false"/>
          <w:bCs w:val="false"/>
          <w:color w:val="16202B"/>
          <w:sz w:val="22"/>
          <w:szCs w:val="22"/>
        </w:rPr>
        <w:t xml:space="preserve">, jeśli uczelnia go narzuca. Jeśli nie, wybieramy sami i mówimy który.</w:t>
      </w:r>
    </w:p>
    <w:p>
      <w:pPr>
        <w:pBdr>
          <w:bottom w:val="single" w:color="E3DFD7" w:sz="6" w:space="6"/>
        </w:pBdr>
        <w:spacing w:after="180" w:before="420"/>
      </w:pPr>
      <w:r>
        <w:rPr>
          <w:rFonts w:ascii="Georgia" w:cs="Georgia" w:eastAsia="Georgia" w:hAnsi="Georgia"/>
          <w:b/>
          <w:bCs/>
          <w:color w:val="16202B"/>
          <w:sz w:val="30"/>
          <w:szCs w:val="30"/>
        </w:rPr>
        <w:t xml:space="preserve">Czego nie wysyłać w pierwszej wiadomości</w:t>
      </w:r>
    </w:p>
    <w:p>
      <w:pPr>
        <w:spacing w:after="160" w:line="300"/>
      </w:pPr>
      <w:r>
        <w:rPr>
          <w:rFonts w:ascii="Segoe UI" w:cs="Segoe UI" w:eastAsia="Segoe UI" w:hAnsi="Segoe UI"/>
          <w:b/>
          <w:bCs/>
          <w:color w:val="16202B"/>
          <w:sz w:val="22"/>
          <w:szCs w:val="22"/>
        </w:rPr>
        <w:t xml:space="preserve">Danych, po których można rozpoznać uczestników badania.</w:t>
      </w:r>
      <w:r>
        <w:rPr>
          <w:rFonts w:ascii="Segoe UI" w:cs="Segoe UI" w:eastAsia="Segoe UI" w:hAnsi="Segoe UI"/>
          <w:b w:val="false"/>
          <w:bCs w:val="false"/>
          <w:color w:val="16202B"/>
          <w:sz w:val="22"/>
          <w:szCs w:val="22"/>
        </w:rPr>
        <w:t xml:space="preserve"> Imion, nazwisk, numerów PESEL, numerów kart pacjenta, dokładnych dat urodzenia, adresów, numerów telefonów. To samo dotyczy danych o zdrowiu przypisanych do konkretnej osoby.</w:t>
      </w:r>
    </w:p>
    <w:p>
      <w:pPr>
        <w:spacing w:after="160" w:line="300"/>
      </w:pPr>
      <w:r>
        <w:rPr>
          <w:rFonts w:ascii="Segoe UI" w:cs="Segoe UI" w:eastAsia="Segoe UI" w:hAnsi="Segoe UI"/>
          <w:color w:val="16202B"/>
          <w:sz w:val="22"/>
          <w:szCs w:val="22"/>
        </w:rPr>
        <w:t xml:space="preserve">Do wyceny wystarczy struktura pliku, opis zmiennych albo dane zanonimizowane. Jeżeli analiza naprawdę wymaga danych osobowych, podpisujemy wcześniej umowę powierzenia przetwarzania i dopiero wtedy ustalamy bezpieczny sposób przekazania plików.</w:t>
      </w:r>
    </w:p>
    <w:p>
      <w:pPr>
        <w:spacing w:after="160" w:line="300"/>
      </w:pPr>
      <w:r>
        <w:rPr>
          <w:rFonts w:ascii="Segoe UI" w:cs="Segoe UI" w:eastAsia="Segoe UI" w:hAnsi="Segoe UI"/>
          <w:b/>
          <w:bCs/>
          <w:color w:val="16202B"/>
          <w:sz w:val="22"/>
          <w:szCs w:val="22"/>
        </w:rPr>
        <w:t xml:space="preserve">Całej pracy w pliku docx.</w:t>
      </w:r>
      <w:r>
        <w:rPr>
          <w:rFonts w:ascii="Segoe UI" w:cs="Segoe UI" w:eastAsia="Segoe UI" w:hAnsi="Segoe UI"/>
          <w:b w:val="false"/>
          <w:bCs w:val="false"/>
          <w:color w:val="16202B"/>
          <w:sz w:val="22"/>
          <w:szCs w:val="22"/>
        </w:rPr>
        <w:t xml:space="preserve"> Nie potrzebujemy wstępu ani przeglądu literatury. Wystarczy fragment metodologiczny, jeśli istnieje.</w:t>
      </w:r>
    </w:p>
    <w:p>
      <w:pPr>
        <w:spacing w:after="160" w:line="300"/>
      </w:pPr>
      <w:r>
        <w:rPr>
          <w:rFonts w:ascii="Segoe UI" w:cs="Segoe UI" w:eastAsia="Segoe UI" w:hAnsi="Segoe UI"/>
          <w:b/>
          <w:bCs/>
          <w:color w:val="16202B"/>
          <w:sz w:val="22"/>
          <w:szCs w:val="22"/>
        </w:rPr>
        <w:t xml:space="preserve">Zrzutów ekranu z wynikami zamiast pliku z danymi.</w:t>
      </w:r>
      <w:r>
        <w:rPr>
          <w:rFonts w:ascii="Segoe UI" w:cs="Segoe UI" w:eastAsia="Segoe UI" w:hAnsi="Segoe UI"/>
          <w:b w:val="false"/>
          <w:bCs w:val="false"/>
          <w:color w:val="16202B"/>
          <w:sz w:val="22"/>
          <w:szCs w:val="22"/>
        </w:rPr>
        <w:t xml:space="preserve"> Ze zrzutu nie da się nic policzyć ani sprawdzić. Jeśli masz tylko zrzuty, napisz o tym wprost, wtedy rozmawiamy o tym, co da się z tego odzyskać.</w:t>
      </w:r>
    </w:p>
    <w:p>
      <w:pPr>
        <w:spacing w:after="160" w:line="300"/>
      </w:pPr>
      <w:r>
        <w:rPr>
          <w:rFonts w:ascii="Segoe UI" w:cs="Segoe UI" w:eastAsia="Segoe UI" w:hAnsi="Segoe UI"/>
          <w:b/>
          <w:bCs/>
          <w:color w:val="16202B"/>
          <w:sz w:val="22"/>
          <w:szCs w:val="22"/>
        </w:rPr>
        <w:t xml:space="preserve">Plików chronionych hasłem bez podania hasła.</w:t>
      </w:r>
      <w:r>
        <w:rPr>
          <w:rFonts w:ascii="Segoe UI" w:cs="Segoe UI" w:eastAsia="Segoe UI" w:hAnsi="Segoe UI"/>
          <w:b w:val="false"/>
          <w:bCs w:val="false"/>
          <w:color w:val="16202B"/>
          <w:sz w:val="22"/>
          <w:szCs w:val="22"/>
        </w:rPr>
        <w:t xml:space="preserve"> Zdarza się częściej, niż mogłoby się wydawać.</w:t>
      </w:r>
    </w:p>
    <w:p>
      <w:pPr>
        <w:pBdr>
          <w:bottom w:val="single" w:color="E3DFD7" w:sz="6" w:space="6"/>
        </w:pBdr>
        <w:spacing w:after="180" w:before="420"/>
      </w:pPr>
      <w:r>
        <w:rPr>
          <w:rFonts w:ascii="Georgia" w:cs="Georgia" w:eastAsia="Georgia" w:hAnsi="Georgia"/>
          <w:b/>
          <w:bCs/>
          <w:color w:val="16202B"/>
          <w:sz w:val="30"/>
          <w:szCs w:val="30"/>
        </w:rPr>
        <w:t xml:space="preserve">Trzy wypełnione przykłady</w:t>
      </w:r>
    </w:p>
    <w:p>
      <w:pPr>
        <w:spacing w:after="120" w:before="280"/>
      </w:pPr>
      <w:r>
        <w:rPr>
          <w:rFonts w:ascii="Georgia" w:cs="Georgia" w:eastAsia="Georgia" w:hAnsi="Georgia"/>
          <w:b/>
          <w:bCs/>
          <w:color w:val="0F6E68"/>
          <w:sz w:val="24"/>
          <w:szCs w:val="24"/>
        </w:rPr>
        <w:t xml:space="preserve">Psychologia</w:t>
      </w:r>
    </w:p>
    <w:p>
      <w:pPr>
        <w:pBdr>
          <w:left w:val="single" w:color="E3DFD7" w:sz="18" w:space="14"/>
        </w:pBdr>
        <w:spacing w:after="120" w:line="290"/>
        <w:ind w:left="460"/>
      </w:pPr>
      <w:r>
        <w:rPr>
          <w:rFonts w:ascii="Segoe UI" w:cs="Segoe UI" w:eastAsia="Segoe UI" w:hAnsi="Segoe UI"/>
          <w:color w:val="4A5763"/>
          <w:sz w:val="21"/>
          <w:szCs w:val="21"/>
        </w:rPr>
        <w:t xml:space="preserve">Temat: związek między prężnością psychiczną a wypaleniem zawodowym u nauczycieli.</w:t>
      </w:r>
    </w:p>
    <w:p>
      <w:pPr>
        <w:pBdr>
          <w:left w:val="single" w:color="E3DFD7" w:sz="18" w:space="14"/>
        </w:pBdr>
        <w:spacing w:after="120" w:line="290"/>
        <w:ind w:left="460"/>
      </w:pPr>
      <w:r>
        <w:rPr>
          <w:rFonts w:ascii="Segoe UI" w:cs="Segoe UI" w:eastAsia="Segoe UI" w:hAnsi="Segoe UI"/>
          <w:color w:val="4A5763"/>
          <w:sz w:val="21"/>
          <w:szCs w:val="21"/>
        </w:rPr>
        <w:t xml:space="preserve">Hipotezy: 1. Istnieje ujemny związek między prężnością a wypaleniem zawodowym. 2. Nauczyciele ze stażem powyżej 15 lat mają wyższe wypalenie niż nauczyciele ze stażem do 5 lat. 3. Prężność różnicuje poziom wypalenia niezależnie od stażu.</w:t>
      </w:r>
    </w:p>
    <w:p>
      <w:pPr>
        <w:pBdr>
          <w:left w:val="single" w:color="E3DFD7" w:sz="18" w:space="14"/>
        </w:pBdr>
        <w:spacing w:after="120" w:line="290"/>
        <w:ind w:left="460"/>
      </w:pPr>
      <w:r>
        <w:rPr>
          <w:rFonts w:ascii="Segoe UI" w:cs="Segoe UI" w:eastAsia="Segoe UI" w:hAnsi="Segoe UI"/>
          <w:color w:val="4A5763"/>
          <w:sz w:val="21"/>
          <w:szCs w:val="21"/>
        </w:rPr>
        <w:t xml:space="preserve">Stan hipotez: robocze, promotor prosił o doprecyzowanie trzeciej.</w:t>
      </w:r>
    </w:p>
    <w:p>
      <w:pPr>
        <w:pBdr>
          <w:left w:val="single" w:color="E3DFD7" w:sz="18" w:space="14"/>
        </w:pBdr>
        <w:spacing w:after="120" w:line="290"/>
        <w:ind w:left="460"/>
      </w:pPr>
      <w:r>
        <w:rPr>
          <w:rFonts w:ascii="Segoe UI" w:cs="Segoe UI" w:eastAsia="Segoe UI" w:hAnsi="Segoe UI"/>
          <w:color w:val="4A5763"/>
          <w:sz w:val="21"/>
          <w:szCs w:val="21"/>
        </w:rPr>
        <w:t xml:space="preserve">Dane: 142 osoby, kwestionariusz w Formularzach Google, eksport xlsx. Dwie skale standaryzowane, klucze dołączam. Wyniki skal nieprzeliczone.</w:t>
      </w:r>
    </w:p>
    <w:p>
      <w:pPr>
        <w:pBdr>
          <w:left w:val="single" w:color="E3DFD7" w:sz="18" w:space="14"/>
        </w:pBdr>
        <w:spacing w:after="120" w:line="290"/>
        <w:ind w:left="460"/>
      </w:pPr>
      <w:r>
        <w:rPr>
          <w:rFonts w:ascii="Segoe UI" w:cs="Segoe UI" w:eastAsia="Segoe UI" w:hAnsi="Segoe UI"/>
          <w:color w:val="4A5763"/>
          <w:sz w:val="21"/>
          <w:szCs w:val="21"/>
        </w:rPr>
        <w:t xml:space="preserve">Pomiar powtarzany: nie. Pytania otwarte: jedno, o powody zmiany szkoły.</w:t>
      </w:r>
    </w:p>
    <w:p>
      <w:pPr>
        <w:pBdr>
          <w:left w:val="single" w:color="E3DFD7" w:sz="18" w:space="14"/>
        </w:pBdr>
        <w:spacing w:after="120" w:line="290"/>
        <w:ind w:left="460"/>
      </w:pPr>
      <w:r>
        <w:rPr>
          <w:rFonts w:ascii="Segoe UI" w:cs="Segoe UI" w:eastAsia="Segoe UI" w:hAnsi="Segoe UI"/>
          <w:color w:val="4A5763"/>
          <w:sz w:val="21"/>
          <w:szCs w:val="21"/>
        </w:rPr>
        <w:t xml:space="preserve">Język raportu: polski. Program: SPSS, wymagany przez uczelnię.</w:t>
      </w:r>
    </w:p>
    <w:p>
      <w:pPr>
        <w:spacing w:after="120" w:before="280"/>
      </w:pPr>
      <w:r>
        <w:rPr>
          <w:rFonts w:ascii="Georgia" w:cs="Georgia" w:eastAsia="Georgia" w:hAnsi="Georgia"/>
          <w:b/>
          <w:bCs/>
          <w:color w:val="0F6E68"/>
          <w:sz w:val="24"/>
          <w:szCs w:val="24"/>
        </w:rPr>
        <w:t xml:space="preserve">Pielęgniarstwo</w:t>
      </w:r>
    </w:p>
    <w:p>
      <w:pPr>
        <w:pBdr>
          <w:left w:val="single" w:color="E3DFD7" w:sz="18" w:space="14"/>
        </w:pBdr>
        <w:spacing w:after="120" w:line="290"/>
        <w:ind w:left="460"/>
      </w:pPr>
      <w:r>
        <w:rPr>
          <w:rFonts w:ascii="Segoe UI" w:cs="Segoe UI" w:eastAsia="Segoe UI" w:hAnsi="Segoe UI"/>
          <w:color w:val="4A5763"/>
          <w:sz w:val="21"/>
          <w:szCs w:val="21"/>
        </w:rPr>
        <w:t xml:space="preserve">Temat: satysfakcja zawodowa pielęgniarek a system zmianowy.</w:t>
      </w:r>
    </w:p>
    <w:p>
      <w:pPr>
        <w:pBdr>
          <w:left w:val="single" w:color="E3DFD7" w:sz="18" w:space="14"/>
        </w:pBdr>
        <w:spacing w:after="120" w:line="290"/>
        <w:ind w:left="460"/>
      </w:pPr>
      <w:r>
        <w:rPr>
          <w:rFonts w:ascii="Segoe UI" w:cs="Segoe UI" w:eastAsia="Segoe UI" w:hAnsi="Segoe UI"/>
          <w:color w:val="4A5763"/>
          <w:sz w:val="21"/>
          <w:szCs w:val="21"/>
        </w:rPr>
        <w:t xml:space="preserve">Hipotezy: nie mam jeszcze sformułowanych. Cel: sprawdzić, czy praca na zmiany nocne wiąże się z niższą satysfakcją zawodową i czy zależy to od oddziału.</w:t>
      </w:r>
    </w:p>
    <w:p>
      <w:pPr>
        <w:pBdr>
          <w:left w:val="single" w:color="E3DFD7" w:sz="18" w:space="14"/>
        </w:pBdr>
        <w:spacing w:after="120" w:line="290"/>
        <w:ind w:left="460"/>
      </w:pPr>
      <w:r>
        <w:rPr>
          <w:rFonts w:ascii="Segoe UI" w:cs="Segoe UI" w:eastAsia="Segoe UI" w:hAnsi="Segoe UI"/>
          <w:color w:val="4A5763"/>
          <w:sz w:val="21"/>
          <w:szCs w:val="21"/>
        </w:rPr>
        <w:t xml:space="preserve">Stan hipotez: mam tylko cel badania.</w:t>
      </w:r>
    </w:p>
    <w:p>
      <w:pPr>
        <w:pBdr>
          <w:left w:val="single" w:color="E3DFD7" w:sz="18" w:space="14"/>
        </w:pBdr>
        <w:spacing w:after="120" w:line="290"/>
        <w:ind w:left="460"/>
      </w:pPr>
      <w:r>
        <w:rPr>
          <w:rFonts w:ascii="Segoe UI" w:cs="Segoe UI" w:eastAsia="Segoe UI" w:hAnsi="Segoe UI"/>
          <w:color w:val="4A5763"/>
          <w:sz w:val="21"/>
          <w:szCs w:val="21"/>
        </w:rPr>
        <w:t xml:space="preserve">Dane: 98 ankiet papierowych, przepisane do Excela. Kolumny opisane skrótami, mam osobny plik z legendą. Jedna skala standaryzowana, klucza nie mam, znam nazwę narzędzia.</w:t>
      </w:r>
    </w:p>
    <w:p>
      <w:pPr>
        <w:pBdr>
          <w:left w:val="single" w:color="E3DFD7" w:sz="18" w:space="14"/>
        </w:pBdr>
        <w:spacing w:after="120" w:line="290"/>
        <w:ind w:left="460"/>
      </w:pPr>
      <w:r>
        <w:rPr>
          <w:rFonts w:ascii="Segoe UI" w:cs="Segoe UI" w:eastAsia="Segoe UI" w:hAnsi="Segoe UI"/>
          <w:color w:val="4A5763"/>
          <w:sz w:val="21"/>
          <w:szCs w:val="21"/>
        </w:rPr>
        <w:t xml:space="preserve">Pomiar powtarzany: nie. Pytania otwarte: nie.</w:t>
      </w:r>
    </w:p>
    <w:p>
      <w:pPr>
        <w:pBdr>
          <w:left w:val="single" w:color="E3DFD7" w:sz="18" w:space="14"/>
        </w:pBdr>
        <w:spacing w:after="120" w:line="290"/>
        <w:ind w:left="460"/>
      </w:pPr>
      <w:r>
        <w:rPr>
          <w:rFonts w:ascii="Segoe UI" w:cs="Segoe UI" w:eastAsia="Segoe UI" w:hAnsi="Segoe UI"/>
          <w:color w:val="4A5763"/>
          <w:sz w:val="21"/>
          <w:szCs w:val="21"/>
        </w:rPr>
        <w:t xml:space="preserve">Język raportu: polski. Program: bez znaczenia.</w:t>
      </w:r>
    </w:p>
    <w:p>
      <w:pPr>
        <w:spacing w:after="120" w:before="280"/>
      </w:pPr>
      <w:r>
        <w:rPr>
          <w:rFonts w:ascii="Georgia" w:cs="Georgia" w:eastAsia="Georgia" w:hAnsi="Georgia"/>
          <w:b/>
          <w:bCs/>
          <w:color w:val="0F6E68"/>
          <w:sz w:val="24"/>
          <w:szCs w:val="24"/>
        </w:rPr>
        <w:t xml:space="preserve">Fizjoterapia</w:t>
      </w:r>
    </w:p>
    <w:p>
      <w:pPr>
        <w:pBdr>
          <w:left w:val="single" w:color="E3DFD7" w:sz="18" w:space="14"/>
        </w:pBdr>
        <w:spacing w:after="120" w:line="290"/>
        <w:ind w:left="460"/>
      </w:pPr>
      <w:r>
        <w:rPr>
          <w:rFonts w:ascii="Segoe UI" w:cs="Segoe UI" w:eastAsia="Segoe UI" w:hAnsi="Segoe UI"/>
          <w:color w:val="4A5763"/>
          <w:sz w:val="21"/>
          <w:szCs w:val="21"/>
        </w:rPr>
        <w:t xml:space="preserve">Temat: skuteczność terapii manualnej w redukcji bólu odcinka lędźwiowego.</w:t>
      </w:r>
    </w:p>
    <w:p>
      <w:pPr>
        <w:pBdr>
          <w:left w:val="single" w:color="E3DFD7" w:sz="18" w:space="14"/>
        </w:pBdr>
        <w:spacing w:after="120" w:line="290"/>
        <w:ind w:left="460"/>
      </w:pPr>
      <w:r>
        <w:rPr>
          <w:rFonts w:ascii="Segoe UI" w:cs="Segoe UI" w:eastAsia="Segoe UI" w:hAnsi="Segoe UI"/>
          <w:color w:val="4A5763"/>
          <w:sz w:val="21"/>
          <w:szCs w:val="21"/>
        </w:rPr>
        <w:t xml:space="preserve">Hipotezy: 1. Nasilenie bólu po terapii jest istotnie niższe niż przed terapią. 2. Efekt utrzymuje się po miesiącu. 3. Wiek pacjenta moderuje wielkość poprawy.</w:t>
      </w:r>
    </w:p>
    <w:p>
      <w:pPr>
        <w:pBdr>
          <w:left w:val="single" w:color="E3DFD7" w:sz="18" w:space="14"/>
        </w:pBdr>
        <w:spacing w:after="120" w:line="290"/>
        <w:ind w:left="460"/>
      </w:pPr>
      <w:r>
        <w:rPr>
          <w:rFonts w:ascii="Segoe UI" w:cs="Segoe UI" w:eastAsia="Segoe UI" w:hAnsi="Segoe UI"/>
          <w:color w:val="4A5763"/>
          <w:sz w:val="21"/>
          <w:szCs w:val="21"/>
        </w:rPr>
        <w:t xml:space="preserve">Stan hipotez: gotowe i zatwierdzone.</w:t>
      </w:r>
    </w:p>
    <w:p>
      <w:pPr>
        <w:pBdr>
          <w:left w:val="single" w:color="E3DFD7" w:sz="18" w:space="14"/>
        </w:pBdr>
        <w:spacing w:after="120" w:line="290"/>
        <w:ind w:left="460"/>
      </w:pPr>
      <w:r>
        <w:rPr>
          <w:rFonts w:ascii="Segoe UI" w:cs="Segoe UI" w:eastAsia="Segoe UI" w:hAnsi="Segoe UI"/>
          <w:color w:val="4A5763"/>
          <w:sz w:val="21"/>
          <w:szCs w:val="21"/>
        </w:rPr>
        <w:t xml:space="preserve">Dane: 45 pacjentów, trzy pomiary bólu w skali VAS: przed, po, po miesiącu. Plik sav. Baza uporządkowana, każdy pomiar w osobnej kolumnie.</w:t>
      </w:r>
    </w:p>
    <w:p>
      <w:pPr>
        <w:pBdr>
          <w:left w:val="single" w:color="E3DFD7" w:sz="18" w:space="14"/>
        </w:pBdr>
        <w:spacing w:after="120" w:line="290"/>
        <w:ind w:left="460"/>
      </w:pPr>
      <w:r>
        <w:rPr>
          <w:rFonts w:ascii="Segoe UI" w:cs="Segoe UI" w:eastAsia="Segoe UI" w:hAnsi="Segoe UI"/>
          <w:color w:val="4A5763"/>
          <w:sz w:val="21"/>
          <w:szCs w:val="21"/>
        </w:rPr>
        <w:t xml:space="preserve">Pomiar powtarzany: tak, trzy pomiary tych samych osób.</w:t>
      </w:r>
    </w:p>
    <w:p>
      <w:pPr>
        <w:pBdr>
          <w:left w:val="single" w:color="E3DFD7" w:sz="18" w:space="14"/>
        </w:pBdr>
        <w:spacing w:after="120" w:line="290"/>
        <w:ind w:left="460"/>
      </w:pPr>
      <w:r>
        <w:rPr>
          <w:rFonts w:ascii="Segoe UI" w:cs="Segoe UI" w:eastAsia="Segoe UI" w:hAnsi="Segoe UI"/>
          <w:color w:val="4A5763"/>
          <w:sz w:val="21"/>
          <w:szCs w:val="21"/>
        </w:rPr>
        <w:t xml:space="preserve">Język raportu: angielski, praca przygotowywana do publikacji. Program: R.</w:t>
      </w:r>
    </w:p>
    <w:p>
      <w:pPr>
        <w:spacing w:after="160" w:before="280" w:line="300"/>
      </w:pPr>
      <w:r>
        <w:rPr>
          <w:rFonts w:ascii="Segoe UI" w:cs="Segoe UI" w:eastAsia="Segoe UI" w:hAnsi="Segoe UI"/>
          <w:color w:val="16202B"/>
          <w:sz w:val="22"/>
          <w:szCs w:val="22"/>
        </w:rPr>
        <w:t xml:space="preserve">Trzy przykłady różnią się kompletnością i wszystkie trzy są w porządku. Drugi nie ma hipotez ani klucza, a mimo to wystarcza do wyceny, bo mówi wprost, czego brakuje. To jest jedyna rzecz, która naprawdę utrudnia wycenę: nie brak materiałów, tylko brak informacji o tym, co się ma, a czego nie.</w:t>
      </w:r>
    </w:p>
    <w:p>
      <w:pPr>
        <w:pBdr>
          <w:bottom w:val="single" w:color="E3DFD7" w:sz="6" w:space="6"/>
        </w:pBdr>
        <w:spacing w:after="180" w:before="420"/>
      </w:pPr>
      <w:r>
        <w:rPr>
          <w:rFonts w:ascii="Georgia" w:cs="Georgia" w:eastAsia="Georgia" w:hAnsi="Georgia"/>
          <w:b/>
          <w:bCs/>
          <w:color w:val="16202B"/>
          <w:sz w:val="30"/>
          <w:szCs w:val="30"/>
        </w:rPr>
        <w:t xml:space="preserve">Ile to trwa po Twojej stronie</w:t>
      </w:r>
    </w:p>
    <w:p>
      <w:pPr>
        <w:spacing w:after="160" w:line="300"/>
      </w:pPr>
      <w:r>
        <w:rPr>
          <w:rFonts w:ascii="Segoe UI" w:cs="Segoe UI" w:eastAsia="Segoe UI" w:hAnsi="Segoe UI"/>
          <w:color w:val="16202B"/>
          <w:sz w:val="22"/>
          <w:szCs w:val="22"/>
        </w:rPr>
        <w:t xml:space="preserve">Zebranie tych rzeczy zajmuje zwykle kwadrans, jeśli dane już istnieją. Nie musisz mieć wszystkiego, żeby wysłać. Wyślij to, co masz, a o resztę dopytamy w jednej wiadomości, nie w pięciu.</w:t>
      </w:r>
    </w:p>
    <w:p>
      <w:pPr>
        <w:pBdr>
          <w:top w:val="single" w:color="E3DFD7" w:sz="6" w:space="12"/>
        </w:pBdr>
        <w:spacing w:before="340"/>
      </w:pPr>
      <w:r>
        <w:rPr>
          <w:rFonts w:ascii="Segoe UI" w:cs="Segoe UI" w:eastAsia="Segoe UI" w:hAnsi="Segoe UI"/>
          <w:b/>
          <w:bCs/>
          <w:color w:val="0F6E68"/>
          <w:sz w:val="24"/>
          <w:szCs w:val="24"/>
        </w:rPr>
        <w:t xml:space="preserve">Wyceń swój projekt: alfastats.pl/wycena</w:t>
      </w:r>
    </w:p>
    <w:sectPr>
      <w:footerReference w:type="default" r:id="rId7"/>
      <w:pgSz w:w="11906" w:h="16838" w:orient="portrait"/>
      <w:pgMar w:top="1440" w:right="1440" w:bottom="130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3DFD7" w:sz="6" w:space="8"/>
      </w:pBdr>
      <w:tabs>
        <w:tab w:val="right" w:pos="9026"/>
      </w:tabs>
      <w:spacing w:before="0"/>
    </w:pPr>
    <w:r>
      <w:rPr>
        <w:rFonts w:ascii="Segoe UI" w:cs="Segoe UI" w:eastAsia="Segoe UI" w:hAnsi="Segoe UI"/>
        <w:color w:val="4A5763"/>
        <w:sz w:val="18"/>
        <w:szCs w:val="18"/>
      </w:rPr>
      <w:t xml:space="preserve">Alfastats, alfastats.pl</w:t>
      <w:tab/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31" w:hanging="259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 wysłać, żeby dostać dobrą wycenę</dc:title>
  <dc:creator>Alfastats</dc:creator>
  <dc:description>Lista tego, co przygotować do wyceny analizy statystycznej, z trzema wypełnionymi przykładami i listą rzeczy, których nie wysyłać.</dc:description>
  <cp:lastModifiedBy>Un-named</cp:lastModifiedBy>
  <cp:revision>1</cp:revision>
  <dcterms:created xsi:type="dcterms:W3CDTF">2026-09-02T16:19:02.595Z</dcterms:created>
  <dcterms:modified xsi:type="dcterms:W3CDTF">2026-09-02T16:19:02.595Z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